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81FE" w14:textId="77777777" w:rsidR="00A02106" w:rsidRDefault="00A02106" w:rsidP="00A02106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eastAsia="et-EE"/>
        </w:rPr>
      </w:pPr>
      <w:r w:rsidRPr="00F872AC">
        <w:rPr>
          <w:b/>
          <w:bCs/>
          <w:sz w:val="24"/>
          <w:szCs w:val="24"/>
          <w:lang w:eastAsia="et-EE"/>
        </w:rPr>
        <w:t>Hindamiskriteeriumid noorte omaalagtuse fondi taotlust</w:t>
      </w:r>
      <w:r>
        <w:rPr>
          <w:b/>
          <w:bCs/>
          <w:sz w:val="24"/>
          <w:szCs w:val="24"/>
          <w:lang w:eastAsia="et-EE"/>
        </w:rPr>
        <w:t>ele</w:t>
      </w:r>
    </w:p>
    <w:p w14:paraId="2A9CDC3E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eastAsia="et-EE"/>
        </w:rPr>
      </w:pPr>
    </w:p>
    <w:p w14:paraId="5EBA10BC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1.</w:t>
      </w:r>
      <w:r w:rsidRPr="00F872AC">
        <w:rPr>
          <w:sz w:val="24"/>
          <w:szCs w:val="24"/>
          <w:lang w:eastAsia="et-EE"/>
        </w:rPr>
        <w:t>Komisjoni kuuluvad neli liiget, kes hindavad iga taotlust sõltumatult järgmiste</w:t>
      </w:r>
    </w:p>
    <w:p w14:paraId="2320F0D0" w14:textId="77777777" w:rsidR="00A02106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 xml:space="preserve">kriteeriumide alusel. </w:t>
      </w:r>
    </w:p>
    <w:p w14:paraId="41C32059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2. </w:t>
      </w:r>
      <w:r w:rsidRPr="00F872AC">
        <w:rPr>
          <w:sz w:val="24"/>
          <w:szCs w:val="24"/>
          <w:lang w:eastAsia="et-EE"/>
        </w:rPr>
        <w:t>Iga kriteeriumi eest on võimalik anda punkte skaalal 0-10.</w:t>
      </w:r>
    </w:p>
    <w:p w14:paraId="75BCC66D" w14:textId="77777777" w:rsidR="00A02106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3. </w:t>
      </w:r>
      <w:r w:rsidRPr="00F872AC">
        <w:rPr>
          <w:sz w:val="24"/>
          <w:szCs w:val="24"/>
          <w:lang w:eastAsia="et-EE"/>
        </w:rPr>
        <w:t>Hindamiskriteeriumid ja punktijaotus:</w:t>
      </w:r>
    </w:p>
    <w:p w14:paraId="66154A77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</w:p>
    <w:p w14:paraId="59D6B5A2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eastAsia="et-EE"/>
        </w:rPr>
      </w:pPr>
      <w:r>
        <w:rPr>
          <w:b/>
          <w:bCs/>
          <w:sz w:val="24"/>
          <w:szCs w:val="24"/>
          <w:lang w:eastAsia="et-EE"/>
        </w:rPr>
        <w:t>3.1</w:t>
      </w:r>
      <w:r w:rsidRPr="00F872AC">
        <w:rPr>
          <w:b/>
          <w:bCs/>
          <w:sz w:val="24"/>
          <w:szCs w:val="24"/>
          <w:lang w:eastAsia="et-EE"/>
        </w:rPr>
        <w:t>. Tegevuse/sündmuse eesmärk ja sihtgrupi kaasatuse potentsiaal (40%)</w:t>
      </w:r>
    </w:p>
    <w:p w14:paraId="1D02F21A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• Selguse ja täpsuse määr (0-10): Hindab, kui selgelt ja täpselt on kirjeldatud projekti</w:t>
      </w:r>
    </w:p>
    <w:p w14:paraId="150E98A7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eesmärgid ja tegevused.</w:t>
      </w:r>
    </w:p>
    <w:p w14:paraId="6C0303E6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• Sihtgrupi määratlus ja kaasatus (0-10): Hindab, kui hästi on määratletud ja kaasatud</w:t>
      </w:r>
    </w:p>
    <w:p w14:paraId="4AB98876" w14:textId="77777777" w:rsidR="00A02106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sihtgrupp, eriti noored vanuses 10-26 aastat.</w:t>
      </w:r>
    </w:p>
    <w:p w14:paraId="4AB50516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</w:p>
    <w:p w14:paraId="1D90FE40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eastAsia="et-EE"/>
        </w:rPr>
      </w:pPr>
      <w:r>
        <w:rPr>
          <w:b/>
          <w:bCs/>
          <w:sz w:val="24"/>
          <w:szCs w:val="24"/>
          <w:lang w:eastAsia="et-EE"/>
        </w:rPr>
        <w:t>3.2</w:t>
      </w:r>
      <w:r w:rsidRPr="00F872AC">
        <w:rPr>
          <w:b/>
          <w:bCs/>
          <w:sz w:val="24"/>
          <w:szCs w:val="24"/>
          <w:lang w:eastAsia="et-EE"/>
        </w:rPr>
        <w:t>. Eelarve selgus ja tegevuse läbimõeldus (30%)</w:t>
      </w:r>
    </w:p>
    <w:p w14:paraId="5E76AE3F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• Eelarve realistlikkus ja põhjendatus (0-10): Hindab, kui realistlik ja põhjendatud on</w:t>
      </w:r>
    </w:p>
    <w:p w14:paraId="0A078E4B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esitatud eelarve, sh kulude jaotus ja abikõlblikkus.</w:t>
      </w:r>
    </w:p>
    <w:p w14:paraId="5EEA79D5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• Tegevuste detailne kirjeldus ja ajakava (0-10): Hindab, kui hästi on läbi mõeldud ja</w:t>
      </w:r>
    </w:p>
    <w:p w14:paraId="6450CF1F" w14:textId="77777777" w:rsidR="00A02106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kirjeldatud projekti tegevused ja ajakava.</w:t>
      </w:r>
    </w:p>
    <w:p w14:paraId="0B26C3F0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</w:p>
    <w:p w14:paraId="69378256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eastAsia="et-EE"/>
        </w:rPr>
      </w:pPr>
      <w:r w:rsidRPr="00F872AC">
        <w:rPr>
          <w:b/>
          <w:bCs/>
          <w:sz w:val="24"/>
          <w:szCs w:val="24"/>
          <w:lang w:eastAsia="et-EE"/>
        </w:rPr>
        <w:t>3</w:t>
      </w:r>
      <w:r>
        <w:rPr>
          <w:b/>
          <w:bCs/>
          <w:sz w:val="24"/>
          <w:szCs w:val="24"/>
          <w:lang w:eastAsia="et-EE"/>
        </w:rPr>
        <w:t>.3</w:t>
      </w:r>
      <w:r w:rsidRPr="00F872AC">
        <w:rPr>
          <w:b/>
          <w:bCs/>
          <w:sz w:val="24"/>
          <w:szCs w:val="24"/>
          <w:lang w:eastAsia="et-EE"/>
        </w:rPr>
        <w:t>. Panus kohaliku elu edendamisse (20%)</w:t>
      </w:r>
    </w:p>
    <w:p w14:paraId="11900745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• Mõju kohaliku kogukonna arengule (0-10): Hindab, kuidas projekt aitab kaasa</w:t>
      </w:r>
    </w:p>
    <w:p w14:paraId="5D73965D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kohaliku elu ja kogukonna arengule Võru maakonnas.</w:t>
      </w:r>
    </w:p>
    <w:p w14:paraId="365C65BF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• Kestlikkus ja pikaajaline mõju (0-10): Hindab, kas ja kuidas projekt loob kestlikke ja</w:t>
      </w:r>
    </w:p>
    <w:p w14:paraId="11B822D0" w14:textId="77777777" w:rsidR="00A02106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pikaajalisi muutusi kogukonnas.</w:t>
      </w:r>
    </w:p>
    <w:p w14:paraId="601C318B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</w:p>
    <w:p w14:paraId="34A5933D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eastAsia="et-EE"/>
        </w:rPr>
      </w:pPr>
      <w:r>
        <w:rPr>
          <w:b/>
          <w:bCs/>
          <w:sz w:val="24"/>
          <w:szCs w:val="24"/>
          <w:lang w:eastAsia="et-EE"/>
        </w:rPr>
        <w:t>3.4</w:t>
      </w:r>
      <w:r w:rsidRPr="00F872AC">
        <w:rPr>
          <w:b/>
          <w:bCs/>
          <w:sz w:val="24"/>
          <w:szCs w:val="24"/>
          <w:lang w:eastAsia="et-EE"/>
        </w:rPr>
        <w:t>. Kaasrahastuse olemasolu (10%)</w:t>
      </w:r>
    </w:p>
    <w:p w14:paraId="4F0E5AA9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• Täiendavate rahastamisallikate olemasolu (0-10): Hindajal on võimalik anda</w:t>
      </w:r>
    </w:p>
    <w:p w14:paraId="74B8D484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lisapunkte, kui näeb, et lisarahastust on leitud või planeeritud kaasata projekti</w:t>
      </w:r>
    </w:p>
    <w:p w14:paraId="71BDC4F6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tegevustesse. Punktiskaalal on võimalik hinnata, kui suur osakaal on on</w:t>
      </w:r>
    </w:p>
    <w:p w14:paraId="1839F8B2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kaasfinantseerimisel. Kui lisarahastajaid projekti tegevusse planeeritud ei ole, siis</w:t>
      </w:r>
    </w:p>
    <w:p w14:paraId="03068ABA" w14:textId="77777777" w:rsidR="00A02106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hindaja peab paneme antud kriteeriumis 0 punkti.</w:t>
      </w:r>
    </w:p>
    <w:p w14:paraId="2D04AEAE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</w:p>
    <w:p w14:paraId="27AE0A07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eastAsia="et-EE"/>
        </w:rPr>
      </w:pPr>
      <w:r>
        <w:rPr>
          <w:b/>
          <w:bCs/>
          <w:sz w:val="24"/>
          <w:szCs w:val="24"/>
          <w:lang w:eastAsia="et-EE"/>
        </w:rPr>
        <w:t xml:space="preserve">3.5. </w:t>
      </w:r>
      <w:r w:rsidRPr="00F872AC">
        <w:rPr>
          <w:b/>
          <w:bCs/>
          <w:sz w:val="24"/>
          <w:szCs w:val="24"/>
          <w:lang w:eastAsia="et-EE"/>
        </w:rPr>
        <w:t>Kokkuvõte</w:t>
      </w:r>
    </w:p>
    <w:p w14:paraId="5AC37D97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Iga hindamiskriteeriumi eest saab komisjoni liige anda maksimaalselt 10 punkti, mis</w:t>
      </w:r>
    </w:p>
    <w:p w14:paraId="18B5FBE6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korrutatakse vastava kriteeriumi protsendilise kaaluga. Kokku on võimalik igalt komisjoni</w:t>
      </w:r>
    </w:p>
    <w:p w14:paraId="188D6B91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liikmelt saada maksimum 100 punkti. Hindamiskomisjoni liikmed peavad suutma</w:t>
      </w:r>
    </w:p>
    <w:p w14:paraId="04645852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komisjoni koosolekul oma hinnangud põhjendama ja punktide andmist tõendama</w:t>
      </w:r>
    </w:p>
    <w:p w14:paraId="189CEF93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F872AC">
        <w:rPr>
          <w:sz w:val="24"/>
          <w:szCs w:val="24"/>
          <w:lang w:eastAsia="et-EE"/>
        </w:rPr>
        <w:t>konkreetsete näidetega taotlusest.</w:t>
      </w:r>
    </w:p>
    <w:p w14:paraId="579F8D34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</w:p>
    <w:p w14:paraId="1EF8E394" w14:textId="77777777" w:rsidR="00A02106" w:rsidRPr="00F872AC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et-EE"/>
        </w:rPr>
      </w:pPr>
      <w:r w:rsidRPr="008170E3">
        <w:rPr>
          <w:sz w:val="24"/>
          <w:szCs w:val="24"/>
          <w:lang w:eastAsia="et-EE"/>
        </w:rPr>
        <w:t>4.</w:t>
      </w:r>
      <w:r>
        <w:rPr>
          <w:sz w:val="24"/>
          <w:szCs w:val="24"/>
          <w:lang w:eastAsia="et-EE"/>
        </w:rPr>
        <w:t xml:space="preserve"> </w:t>
      </w:r>
      <w:r w:rsidRPr="00F872AC">
        <w:rPr>
          <w:sz w:val="24"/>
          <w:szCs w:val="24"/>
          <w:lang w:eastAsia="et-EE"/>
        </w:rPr>
        <w:t>Kõrgeima punktisummaga projektid saavad rahastuse vastavalt eelarve võimalustele ja</w:t>
      </w:r>
    </w:p>
    <w:p w14:paraId="4D3F5684" w14:textId="77777777" w:rsidR="00A02106" w:rsidRPr="00583AB5" w:rsidRDefault="00A02106" w:rsidP="00A02106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F872AC">
        <w:rPr>
          <w:sz w:val="24"/>
          <w:szCs w:val="24"/>
          <w:lang w:eastAsia="et-EE"/>
        </w:rPr>
        <w:t>komisjoni otsusele.</w:t>
      </w:r>
    </w:p>
    <w:p w14:paraId="37B849F4" w14:textId="78124E9E" w:rsidR="00F66430" w:rsidRPr="004B0B48" w:rsidRDefault="00F66430" w:rsidP="004B0B48"/>
    <w:sectPr w:rsidR="00F66430" w:rsidRPr="004B0B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9FD8" w14:textId="77777777" w:rsidR="00BC2D7F" w:rsidRDefault="00BC2D7F" w:rsidP="00BC2D7F">
      <w:r>
        <w:separator/>
      </w:r>
    </w:p>
  </w:endnote>
  <w:endnote w:type="continuationSeparator" w:id="0">
    <w:p w14:paraId="108BCA6A" w14:textId="77777777" w:rsidR="00BC2D7F" w:rsidRDefault="00BC2D7F" w:rsidP="00BC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FC39" w14:textId="77777777" w:rsidR="00BC2D7F" w:rsidRDefault="00BC2D7F" w:rsidP="00BC2D7F">
      <w:r>
        <w:separator/>
      </w:r>
    </w:p>
  </w:footnote>
  <w:footnote w:type="continuationSeparator" w:id="0">
    <w:p w14:paraId="226AE2AB" w14:textId="77777777" w:rsidR="00BC2D7F" w:rsidRDefault="00BC2D7F" w:rsidP="00BC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C3E3" w14:textId="7872A464" w:rsidR="005D0F8C" w:rsidRPr="005D0F8C" w:rsidRDefault="005D0F8C" w:rsidP="005D0F8C">
    <w:pPr>
      <w:pStyle w:val="Header"/>
      <w:jc w:val="right"/>
      <w:rPr>
        <w:sz w:val="24"/>
        <w:szCs w:val="24"/>
      </w:rPr>
    </w:pPr>
    <w:r w:rsidRPr="005D0F8C">
      <w:rPr>
        <w:sz w:val="24"/>
        <w:szCs w:val="24"/>
      </w:rPr>
      <w:t>1-2/35 Lisa</w:t>
    </w:r>
    <w:r w:rsidR="00005E43">
      <w:rPr>
        <w:sz w:val="24"/>
        <w:szCs w:val="24"/>
      </w:rPr>
      <w:t xml:space="preserve"> </w:t>
    </w:r>
    <w:r w:rsidR="00A02106">
      <w:rPr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7F"/>
    <w:rsid w:val="00005E43"/>
    <w:rsid w:val="004B0B48"/>
    <w:rsid w:val="005D0F8C"/>
    <w:rsid w:val="00702955"/>
    <w:rsid w:val="008B3949"/>
    <w:rsid w:val="00A02106"/>
    <w:rsid w:val="00BC2D7F"/>
    <w:rsid w:val="00F04360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73051"/>
  <w15:chartTrackingRefBased/>
  <w15:docId w15:val="{87D7EE1E-6C11-4AE6-9A86-16665A3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7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t-EE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Aništšenko</dc:creator>
  <cp:keywords/>
  <dc:description/>
  <cp:lastModifiedBy>Emil Aništšenko</cp:lastModifiedBy>
  <cp:revision>2</cp:revision>
  <dcterms:created xsi:type="dcterms:W3CDTF">2024-09-23T13:29:00Z</dcterms:created>
  <dcterms:modified xsi:type="dcterms:W3CDTF">2024-09-23T13:29:00Z</dcterms:modified>
</cp:coreProperties>
</file>